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07B7" w14:textId="5C68F265" w:rsidR="00F4490A" w:rsidRDefault="00F4490A" w:rsidP="00F449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490A">
        <w:rPr>
          <w:rFonts w:ascii="Times New Roman" w:eastAsia="Times New Roman" w:hAnsi="Times New Roman" w:cs="Times New Roman"/>
          <w:b/>
          <w:bCs/>
          <w:sz w:val="27"/>
          <w:szCs w:val="27"/>
        </w:rPr>
        <w:t>31.4.1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F4490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 w:rsidR="001E497C">
        <w:rPr>
          <w:rFonts w:ascii="Times New Roman" w:eastAsia="Times New Roman" w:hAnsi="Times New Roman" w:cs="Times New Roman"/>
          <w:b/>
          <w:bCs/>
          <w:sz w:val="27"/>
          <w:szCs w:val="27"/>
        </w:rPr>
        <w:t>Ranked Probability Score</w:t>
      </w:r>
      <w:r w:rsidRPr="00F4490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r w:rsidR="001E497C">
        <w:rPr>
          <w:rFonts w:ascii="Times New Roman" w:eastAsia="Times New Roman" w:hAnsi="Times New Roman" w:cs="Times New Roman"/>
          <w:b/>
          <w:bCs/>
          <w:sz w:val="27"/>
          <w:szCs w:val="27"/>
        </w:rPr>
        <w:t>RPS</w:t>
      </w:r>
      <w:r w:rsidRPr="00F4490A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14:paraId="412800AE" w14:textId="247B661C" w:rsidR="001E497C" w:rsidRDefault="009E1D8C" w:rsidP="00F4490A">
      <w:pPr>
        <w:spacing w:before="100" w:beforeAutospacing="1" w:after="100" w:afterAutospacing="1" w:line="240" w:lineRule="auto"/>
        <w:outlineLvl w:val="2"/>
      </w:pPr>
      <w:r>
        <w:t xml:space="preserve">While the above probabilistic verification measures </w:t>
      </w:r>
      <w:r w:rsidR="00364904">
        <w:t xml:space="preserve">utilize dichotomous </w:t>
      </w:r>
      <w:r w:rsidR="00AE70A1">
        <w:t>observations, t</w:t>
      </w:r>
      <w:r w:rsidR="001E497C">
        <w:t xml:space="preserve">he </w:t>
      </w:r>
      <w:r w:rsidR="005D7AA8">
        <w:t>Ranked Probability Score (RPS</w:t>
      </w:r>
      <w:r w:rsidR="0085612F">
        <w:t xml:space="preserve">, </w:t>
      </w:r>
      <w:r w:rsidR="00846772">
        <w:t xml:space="preserve">Epstein 1969, </w:t>
      </w:r>
      <w:r w:rsidR="0085612F">
        <w:t>Murphy 1969</w:t>
      </w:r>
      <w:r w:rsidR="005D7AA8">
        <w:t xml:space="preserve">) is the only probabilistic verification measure for </w:t>
      </w:r>
      <w:r w:rsidR="0099239D">
        <w:t xml:space="preserve">discrete </w:t>
      </w:r>
      <w:r>
        <w:t>multiple-category events available in MET.</w:t>
      </w:r>
      <w:r w:rsidR="0099239D">
        <w:t xml:space="preserve">  </w:t>
      </w:r>
      <w:r w:rsidR="00376100">
        <w:t xml:space="preserve">It is assumed that the categories are ordinal as </w:t>
      </w:r>
      <w:r w:rsidR="00D94FCE">
        <w:t xml:space="preserve">nominal categorical variables can be collapsed into </w:t>
      </w:r>
      <w:r w:rsidR="002D42A3">
        <w:t xml:space="preserve">sequences of binary predictands, which can in turn be </w:t>
      </w:r>
      <w:r w:rsidR="009B452D">
        <w:t>evaluated with the above measures for dichotomous variables (</w:t>
      </w:r>
      <w:commentRangeStart w:id="0"/>
      <w:r w:rsidR="009B452D">
        <w:t>Wilks 2011</w:t>
      </w:r>
      <w:commentRangeEnd w:id="0"/>
      <w:r w:rsidR="005917BC">
        <w:rPr>
          <w:rStyle w:val="CommentReference"/>
        </w:rPr>
        <w:commentReference w:id="0"/>
      </w:r>
      <w:r w:rsidR="009B452D">
        <w:t>).</w:t>
      </w:r>
      <w:r w:rsidR="00CA1AAC">
        <w:t xml:space="preserve">  The RPS is the </w:t>
      </w:r>
      <w:r w:rsidR="005C0779">
        <w:t>multi-category extension of the Brier score</w:t>
      </w:r>
      <w:r w:rsidR="00BF2365">
        <w:t xml:space="preserve"> (Tödter and </w:t>
      </w:r>
      <w:r w:rsidR="00F24C80">
        <w:t>Ahrens 2012</w:t>
      </w:r>
      <w:r w:rsidR="00BF2365">
        <w:t>)</w:t>
      </w:r>
      <w:r w:rsidR="004C30EB">
        <w:t>, and is a proper score (Mason 2008)</w:t>
      </w:r>
      <w:r w:rsidR="005C0779">
        <w:t>.</w:t>
      </w:r>
    </w:p>
    <w:p w14:paraId="25B031AD" w14:textId="1132BA23" w:rsidR="00C37415" w:rsidRDefault="00CE2F39" w:rsidP="00F4490A">
      <w:pPr>
        <w:spacing w:before="100" w:beforeAutospacing="1" w:after="100" w:afterAutospacing="1" w:line="240" w:lineRule="auto"/>
        <w:outlineLvl w:val="2"/>
        <w:rPr>
          <w:rFonts w:eastAsiaTheme="minorEastAsia"/>
        </w:rPr>
      </w:pPr>
      <w:r>
        <w:t xml:space="preserve">Let </w:t>
      </w:r>
      <m:oMath>
        <m:r>
          <w:rPr>
            <w:rFonts w:ascii="Cambria Math" w:hAnsi="Cambria Math"/>
          </w:rPr>
          <m:t>J</m:t>
        </m:r>
      </m:oMath>
      <w:r w:rsidR="00C26D0D">
        <w:rPr>
          <w:rFonts w:eastAsiaTheme="minorEastAsia"/>
        </w:rPr>
        <w:t xml:space="preserve"> be the number of categories, then </w:t>
      </w:r>
      <w:r w:rsidR="00A15D0F">
        <w:rPr>
          <w:rFonts w:eastAsiaTheme="minorEastAsia"/>
        </w:rPr>
        <w:t xml:space="preserve">both the forecast,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e>
        </m:d>
      </m:oMath>
      <w:r w:rsidR="00A15D0F">
        <w:rPr>
          <w:rFonts w:eastAsiaTheme="minorEastAsia"/>
        </w:rPr>
        <w:t xml:space="preserve">, and observation, </w:t>
      </w:r>
      <m:oMath>
        <m:r>
          <m:rPr>
            <m:sty m:val="bi"/>
          </m:rP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e>
        </m:d>
      </m:oMath>
      <w:r w:rsidR="00A15D0F">
        <w:rPr>
          <w:rFonts w:eastAsiaTheme="minorEastAsia"/>
        </w:rPr>
        <w:t xml:space="preserve">, are </w:t>
      </w:r>
      <w:r w:rsidR="0093205B">
        <w:rPr>
          <w:rFonts w:eastAsiaTheme="minorEastAsia"/>
        </w:rPr>
        <w:t>length-</w:t>
      </w:r>
      <m:oMath>
        <m:r>
          <w:rPr>
            <w:rFonts w:ascii="Cambria Math" w:eastAsiaTheme="minorEastAsia" w:hAnsi="Cambria Math"/>
          </w:rPr>
          <m:t>J</m:t>
        </m:r>
      </m:oMath>
      <w:r w:rsidR="0093205B">
        <w:rPr>
          <w:rFonts w:eastAsiaTheme="minorEastAsia"/>
        </w:rPr>
        <w:t xml:space="preserve"> vectors, where the components</w:t>
      </w:r>
      <w:r w:rsidR="00E74C73">
        <w:rPr>
          <w:rFonts w:eastAsiaTheme="minorEastAsia"/>
        </w:rPr>
        <w:t xml:space="preserve"> of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</m:oMath>
      <w:r w:rsidR="00604BC2">
        <w:rPr>
          <w:rFonts w:eastAsiaTheme="minorEastAsia"/>
        </w:rPr>
        <w:t xml:space="preserve"> include the probabilities forecast for each category </w:t>
      </w:r>
      <m:oMath>
        <m:r>
          <w:rPr>
            <w:rFonts w:ascii="Cambria Math" w:eastAsiaTheme="minorEastAsia" w:hAnsi="Cambria Math"/>
          </w:rPr>
          <m:t>1,…,J</m:t>
        </m:r>
      </m:oMath>
      <w:r w:rsidR="00604BC2">
        <w:rPr>
          <w:rFonts w:eastAsiaTheme="minorEastAsia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</w:rPr>
          <m:t>o</m:t>
        </m:r>
      </m:oMath>
      <w:r w:rsidR="00604BC2">
        <w:rPr>
          <w:rFonts w:eastAsiaTheme="minorEastAsia"/>
        </w:rPr>
        <w:t xml:space="preserve"> </w:t>
      </w:r>
      <w:r w:rsidR="00EC5A3D">
        <w:rPr>
          <w:rFonts w:eastAsiaTheme="minorEastAsia"/>
        </w:rPr>
        <w:t>contains 1 in the category that is realized and zero everywhere else.</w:t>
      </w:r>
      <w:r w:rsidR="00BF6EF6">
        <w:rPr>
          <w:rFonts w:eastAsiaTheme="minorEastAsia"/>
        </w:rPr>
        <w:t xml:space="preserve">  The cumulative forecasts,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4750C3">
        <w:rPr>
          <w:rFonts w:eastAsiaTheme="minorEastAsia"/>
        </w:rPr>
        <w:t>,</w:t>
      </w:r>
      <w:r w:rsidR="00BF6EF6">
        <w:rPr>
          <w:rFonts w:eastAsiaTheme="minorEastAsia"/>
        </w:rPr>
        <w:t xml:space="preserve"> and observations</w:t>
      </w:r>
      <w:r w:rsidR="004750C3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C37415">
        <w:rPr>
          <w:rFonts w:eastAsiaTheme="minorEastAsia"/>
        </w:rPr>
        <w:t>, are defined to be:</w:t>
      </w:r>
    </w:p>
    <w:p w14:paraId="6F7748CE" w14:textId="77777777" w:rsidR="009E57C7" w:rsidRDefault="00A2443D" w:rsidP="00F4490A">
      <w:pPr>
        <w:spacing w:before="100" w:beforeAutospacing="1" w:after="100" w:afterAutospacing="1" w:line="240" w:lineRule="auto"/>
        <w:outlineLvl w:val="2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j=1</m:t>
            </m:r>
          </m:sub>
          <m:sup>
            <m:r>
              <w:rPr>
                <w:rFonts w:ascii="Cambria Math" w:eastAsiaTheme="minorEastAsia" w:hAnsi="Cambria Math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e>
        </m:nary>
        <m:r>
          <m:rPr>
            <m:nor/>
          </m:rPr>
          <w:rPr>
            <w:rFonts w:ascii="Cambria Math" w:eastAsiaTheme="minorEastAsia" w:hAnsi="Cambria Math"/>
          </w:rPr>
          <m:t xml:space="preserve">and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j=1</m:t>
            </m:r>
          </m:sub>
          <m:sup>
            <m:r>
              <w:rPr>
                <w:rFonts w:ascii="Cambria Math" w:eastAsiaTheme="minorEastAsia" w:hAnsi="Cambria Math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e>
        </m:nary>
        <m:r>
          <w:rPr>
            <w:rFonts w:ascii="Cambria Math" w:eastAsiaTheme="minorEastAsia" w:hAnsi="Cambria Math"/>
          </w:rPr>
          <m:t>, m=1,…,J</m:t>
        </m:r>
      </m:oMath>
      <w:r w:rsidR="009E57C7">
        <w:rPr>
          <w:rFonts w:eastAsiaTheme="minorEastAsia"/>
        </w:rPr>
        <w:t>.</w:t>
      </w:r>
    </w:p>
    <w:p w14:paraId="1076809D" w14:textId="73ED39C6" w:rsidR="00CE2F39" w:rsidRDefault="00B37C29" w:rsidP="00F4490A">
      <w:pPr>
        <w:spacing w:before="100" w:beforeAutospacing="1" w:after="100" w:afterAutospacing="1" w:line="240" w:lineRule="auto"/>
        <w:outlineLvl w:val="2"/>
        <w:rPr>
          <w:rFonts w:eastAsiaTheme="minorEastAsia"/>
        </w:rPr>
      </w:pPr>
      <w:r>
        <w:rPr>
          <w:rFonts w:eastAsiaTheme="minorEastAsia"/>
        </w:rPr>
        <w:t>To clarify</w:t>
      </w:r>
      <w:r w:rsidR="006564D0">
        <w:rPr>
          <w:rFonts w:eastAsiaTheme="minorEastAsia"/>
        </w:rPr>
        <w:t>,</w:t>
      </w:r>
      <w:r w:rsidR="00F331E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 w:rsidR="00F331E5">
        <w:rPr>
          <w:rFonts w:eastAsiaTheme="minorEastAsia"/>
        </w:rPr>
        <w:t xml:space="preserve">is </w:t>
      </w:r>
      <w:r>
        <w:rPr>
          <w:rFonts w:eastAsiaTheme="minorEastAsia"/>
        </w:rPr>
        <w:t xml:space="preserve">the first component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E85CAA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85CAA">
        <w:rPr>
          <w:rFonts w:eastAsiaTheme="minorEastAsia"/>
        </w:rPr>
        <w:t xml:space="preserve">, etc.,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965AED">
        <w:rPr>
          <w:rFonts w:eastAsiaTheme="minorEastAsia"/>
        </w:rPr>
        <w:t>.  Similarly,</w:t>
      </w:r>
      <w:r w:rsidR="00C56007">
        <w:rPr>
          <w:rFonts w:eastAsiaTheme="minorEastAsia"/>
        </w:rPr>
        <w:t xml:space="preserve"> if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F24369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i&lt;j</m:t>
        </m:r>
      </m:oMath>
      <w:r w:rsidR="00F24369">
        <w:rPr>
          <w:rFonts w:eastAsiaTheme="minorEastAsia"/>
        </w:rPr>
        <w:t>, then</w:t>
      </w:r>
      <w:r w:rsidR="00965AE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F24369">
        <w:rPr>
          <w:rFonts w:eastAsiaTheme="minorEastAsia"/>
        </w:rPr>
        <w:t xml:space="preserve"> and </w:t>
      </w:r>
      <w:r w:rsidR="004F1D47">
        <w:rPr>
          <w:rFonts w:eastAsiaTheme="minorEastAsia"/>
        </w:rPr>
        <w:t>when</w:t>
      </w:r>
      <w:r w:rsidR="00F2436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i≥j</m:t>
        </m:r>
      </m:oMath>
      <w:r w:rsidR="00547238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547238">
        <w:rPr>
          <w:rFonts w:eastAsiaTheme="minorEastAsia"/>
        </w:rPr>
        <w:t xml:space="preserve">, and of course,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547238">
        <w:rPr>
          <w:rFonts w:eastAsiaTheme="minorEastAsia"/>
        </w:rPr>
        <w:t>.</w:t>
      </w:r>
      <w:r w:rsidR="009C24CA">
        <w:rPr>
          <w:rFonts w:eastAsiaTheme="minorEastAsia"/>
        </w:rPr>
        <w:t xml:space="preserve">  </w:t>
      </w:r>
      <w:r w:rsidR="009B32C8">
        <w:rPr>
          <w:rFonts w:eastAsiaTheme="minorEastAsia"/>
        </w:rPr>
        <w:t>Finally, t</w:t>
      </w:r>
      <w:r w:rsidR="009C24CA">
        <w:rPr>
          <w:rFonts w:eastAsiaTheme="minorEastAsia"/>
        </w:rPr>
        <w:t xml:space="preserve">he RPS is </w:t>
      </w:r>
      <w:r w:rsidR="009B32C8">
        <w:rPr>
          <w:rFonts w:eastAsiaTheme="minorEastAsia"/>
        </w:rPr>
        <w:t>defined</w:t>
      </w:r>
      <w:r w:rsidR="009C24CA">
        <w:rPr>
          <w:rFonts w:eastAsiaTheme="minorEastAsia"/>
        </w:rPr>
        <w:t xml:space="preserve"> </w:t>
      </w:r>
      <w:r w:rsidR="009B32C8">
        <w:rPr>
          <w:rFonts w:eastAsiaTheme="minorEastAsia"/>
        </w:rPr>
        <w:t>to be:</w:t>
      </w:r>
    </w:p>
    <w:p w14:paraId="2DD17607" w14:textId="2A590E01" w:rsidR="009C24CA" w:rsidRPr="009B32C8" w:rsidRDefault="003B505E" w:rsidP="00F449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</w:rPr>
      </w:pPr>
      <m:oMathPara>
        <m:oMath>
          <m:r>
            <m:rPr>
              <m:nor/>
            </m:rPr>
            <w:rPr>
              <w:rFonts w:ascii="Cambria Math" w:eastAsia="Times New Roman" w:hAnsi="Cambria Math" w:cs="Times New Roman"/>
              <w:sz w:val="27"/>
              <w:szCs w:val="27"/>
            </w:rPr>
            <m:t>RPS</m:t>
          </m:r>
          <m:r>
            <w:rPr>
              <w:rFonts w:ascii="Cambria Math" w:eastAsia="Times New Roman" w:hAnsi="Cambria Math" w:cs="Times New Roman"/>
              <w:sz w:val="27"/>
              <w:szCs w:val="27"/>
            </w:rPr>
            <m:t>=</m:t>
          </m:r>
          <m:nary>
            <m:naryPr>
              <m:chr m:val="∑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m=1</m:t>
              </m:r>
            </m:sub>
            <m:sup>
              <m:r>
                <w:rPr>
                  <w:rFonts w:ascii="Cambria Math" w:eastAsiaTheme="minorEastAsia" w:hAnsi="Cambria Math"/>
                </w:rPr>
                <m:t>J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m=1</m:t>
              </m:r>
            </m:sub>
            <m:sup>
              <m:r>
                <w:rPr>
                  <w:rFonts w:ascii="Cambria Math" w:eastAsiaTheme="minorEastAsia" w:hAnsi="Cambria Math"/>
                </w:rPr>
                <m:t>J</m:t>
              </m:r>
            </m:sup>
            <m:e>
              <m:r>
                <w:rPr>
                  <w:rFonts w:ascii="Cambria Math" w:eastAsiaTheme="minorEastAsia" w:hAnsi="Cambria Math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,</m:t>
          </m:r>
        </m:oMath>
      </m:oMathPara>
    </w:p>
    <w:p w14:paraId="2A0477D3" w14:textId="16BF9169" w:rsidR="00047CE5" w:rsidRPr="00F4490A" w:rsidRDefault="00902CBE" w:rsidP="00F4490A">
      <w:pPr>
        <w:spacing w:before="100" w:beforeAutospacing="1" w:after="100" w:afterAutospacing="1" w:line="240" w:lineRule="auto"/>
        <w:outlineLvl w:val="2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where </w:t>
      </w:r>
      <m:oMath>
        <m:r>
          <w:rPr>
            <w:rFonts w:ascii="Cambria Math" w:eastAsia="Times New Roman" w:hAnsi="Cambria Math" w:cstheme="minorHAnsi"/>
          </w:rPr>
          <m:t>B</m:t>
        </m:r>
        <m:sSub>
          <m:sSubPr>
            <m:ctrlPr>
              <w:rPr>
                <w:rFonts w:ascii="Cambria Math" w:eastAsia="Times New Roman" w:hAnsi="Cambria Math" w:cstheme="minorHAnsi"/>
                <w:i/>
              </w:rPr>
            </m:ctrlPr>
          </m:sSubPr>
          <m:e>
            <m:r>
              <w:rPr>
                <w:rFonts w:ascii="Cambria Math" w:eastAsia="Times New Roman" w:hAnsi="Cambria Math" w:cstheme="minorHAnsi"/>
              </w:rPr>
              <m:t>S</m:t>
            </m:r>
          </m:e>
          <m:sub>
            <m:r>
              <w:rPr>
                <w:rFonts w:ascii="Cambria Math" w:eastAsia="Times New Roman" w:hAnsi="Cambria Math" w:cstheme="minorHAnsi"/>
              </w:rPr>
              <m:t>m</m:t>
            </m:r>
          </m:sub>
        </m:sSub>
      </m:oMath>
      <w:r w:rsidR="00DD56FF">
        <w:rPr>
          <w:rFonts w:eastAsia="Times New Roman" w:cstheme="minorHAnsi"/>
        </w:rPr>
        <w:t xml:space="preserve"> is the Brier score for the </w:t>
      </w:r>
      <m:oMath>
        <m:r>
          <w:rPr>
            <w:rFonts w:ascii="Cambria Math" w:eastAsiaTheme="minorEastAsia" w:hAnsi="Cambria Math"/>
          </w:rPr>
          <m:t>m</m:t>
        </m:r>
      </m:oMath>
      <w:r w:rsidR="00DD56FF">
        <w:rPr>
          <w:rFonts w:eastAsia="Times New Roman" w:cstheme="minorHAnsi"/>
        </w:rPr>
        <w:t>-th category</w:t>
      </w:r>
      <w:r w:rsidR="00104EF3">
        <w:rPr>
          <w:rFonts w:eastAsia="Times New Roman" w:cstheme="minorHAnsi"/>
        </w:rPr>
        <w:t xml:space="preserve"> </w:t>
      </w:r>
      <w:r w:rsidR="00104EF3">
        <w:t xml:space="preserve">(Tödter and Ahrens 2012). </w:t>
      </w:r>
      <w:r>
        <w:rPr>
          <w:rFonts w:eastAsia="Times New Roman" w:cstheme="minorHAnsi"/>
        </w:rPr>
        <w:t xml:space="preserve"> </w:t>
      </w:r>
      <w:r w:rsidR="00752E7A">
        <w:rPr>
          <w:rFonts w:eastAsia="Times New Roman" w:cstheme="minorHAnsi"/>
        </w:rPr>
        <w:t>Subsequently</w:t>
      </w:r>
      <w:r w:rsidR="007247F2" w:rsidRPr="004533DB">
        <w:rPr>
          <w:rFonts w:eastAsia="Times New Roman" w:cstheme="minorHAnsi"/>
        </w:rPr>
        <w:t xml:space="preserve">, </w:t>
      </w:r>
      <w:r w:rsidR="004533DB">
        <w:rPr>
          <w:rFonts w:eastAsia="Times New Roman" w:cstheme="minorHAnsi"/>
        </w:rPr>
        <w:t xml:space="preserve">the RPS lends itself to </w:t>
      </w:r>
      <w:r w:rsidR="00047CE5">
        <w:rPr>
          <w:rFonts w:eastAsia="Times New Roman" w:cstheme="minorHAnsi"/>
        </w:rPr>
        <w:t>a decomposition into reliability, resolution and uncertainty components</w:t>
      </w:r>
      <w:r w:rsidR="00752E7A">
        <w:rPr>
          <w:rFonts w:eastAsia="Times New Roman" w:cstheme="minorHAnsi"/>
        </w:rPr>
        <w:t xml:space="preserve">, noting that each component is </w:t>
      </w:r>
      <w:r w:rsidR="0063073C">
        <w:rPr>
          <w:rFonts w:eastAsia="Times New Roman" w:cstheme="minorHAnsi"/>
        </w:rPr>
        <w:t>aggregated over the different categories</w:t>
      </w:r>
      <w:r w:rsidR="007E1269">
        <w:rPr>
          <w:rFonts w:eastAsia="Times New Roman" w:cstheme="minorHAnsi"/>
        </w:rPr>
        <w:t>; these are the line types RPS_REL, RPS_RES and RPS_UNC</w:t>
      </w:r>
      <w:r w:rsidR="0063073C">
        <w:rPr>
          <w:rFonts w:eastAsia="Times New Roman" w:cstheme="minorHAnsi"/>
        </w:rPr>
        <w:t>.</w:t>
      </w:r>
    </w:p>
    <w:p w14:paraId="6C337662" w14:textId="04C4D4BB" w:rsidR="00AE1515" w:rsidRDefault="00AE1515" w:rsidP="00997921">
      <w:pPr>
        <w:pStyle w:val="Heading3"/>
      </w:pPr>
      <w:r>
        <w:t>References used here that are not currently in the MET document:</w:t>
      </w:r>
    </w:p>
    <w:p w14:paraId="0F53EE66" w14:textId="35E7EBD3" w:rsidR="001C170F" w:rsidRDefault="001C170F">
      <w:r w:rsidRPr="001C170F">
        <w:t>Epstein, E. S., 1969</w:t>
      </w:r>
      <w:r w:rsidR="00262CC9">
        <w:t>.</w:t>
      </w:r>
      <w:r w:rsidRPr="001C170F">
        <w:t xml:space="preserve"> A scoring system for probability forecasts of</w:t>
      </w:r>
      <w:r>
        <w:t xml:space="preserve"> </w:t>
      </w:r>
      <w:r w:rsidRPr="001C170F">
        <w:t>ranked categories.</w:t>
      </w:r>
      <w:r>
        <w:t xml:space="preserve"> </w:t>
      </w:r>
      <w:r w:rsidRPr="001C170F">
        <w:rPr>
          <w:i/>
          <w:iCs/>
        </w:rPr>
        <w:t>J. Appl. Meteor</w:t>
      </w:r>
      <w:r w:rsidRPr="001C170F">
        <w:t>.,</w:t>
      </w:r>
      <w:r>
        <w:t xml:space="preserve"> </w:t>
      </w:r>
      <w:r w:rsidRPr="001C170F">
        <w:rPr>
          <w:b/>
          <w:bCs/>
        </w:rPr>
        <w:t>8</w:t>
      </w:r>
      <w:r w:rsidRPr="001C170F">
        <w:t>,</w:t>
      </w:r>
      <w:r>
        <w:t xml:space="preserve"> </w:t>
      </w:r>
      <w:r w:rsidRPr="001C170F">
        <w:t>985–987</w:t>
      </w:r>
      <w:r w:rsidR="00A202B1">
        <w:t xml:space="preserve">, </w:t>
      </w:r>
      <w:r w:rsidR="00A202B1" w:rsidRPr="00A202B1">
        <w:t>10.1175/1520-0450(1969)008&lt;0985:ASSFPF&gt;2.0.CO;2</w:t>
      </w:r>
      <w:r w:rsidRPr="001C170F">
        <w:t>.</w:t>
      </w:r>
    </w:p>
    <w:p w14:paraId="2FCFE5C4" w14:textId="6D8E2C12" w:rsidR="00262CC9" w:rsidRDefault="00262CC9">
      <w:r>
        <w:t xml:space="preserve">Mason, S. J., </w:t>
      </w:r>
      <w:r w:rsidRPr="00262CC9">
        <w:t>2008</w:t>
      </w:r>
      <w:r>
        <w:t>.</w:t>
      </w:r>
      <w:r w:rsidRPr="00262CC9">
        <w:t xml:space="preserve"> Understanding forecast verification statistics.</w:t>
      </w:r>
      <w:r>
        <w:t xml:space="preserve"> </w:t>
      </w:r>
      <w:r w:rsidRPr="00262CC9">
        <w:rPr>
          <w:i/>
          <w:iCs/>
        </w:rPr>
        <w:t>Meteor.</w:t>
      </w:r>
      <w:r>
        <w:rPr>
          <w:i/>
          <w:iCs/>
        </w:rPr>
        <w:t xml:space="preserve"> </w:t>
      </w:r>
      <w:r w:rsidRPr="00262CC9">
        <w:rPr>
          <w:i/>
          <w:iCs/>
        </w:rPr>
        <w:t>Appl</w:t>
      </w:r>
      <w:r w:rsidRPr="00262CC9">
        <w:t>.,</w:t>
      </w:r>
      <w:r>
        <w:t xml:space="preserve"> </w:t>
      </w:r>
      <w:r w:rsidRPr="00262CC9">
        <w:rPr>
          <w:b/>
          <w:bCs/>
        </w:rPr>
        <w:t>15</w:t>
      </w:r>
      <w:r w:rsidRPr="00262CC9">
        <w:t>,</w:t>
      </w:r>
      <w:r>
        <w:t xml:space="preserve"> </w:t>
      </w:r>
      <w:r w:rsidRPr="00262CC9">
        <w:t>31–40</w:t>
      </w:r>
      <w:r w:rsidR="00B65401">
        <w:t xml:space="preserve">, doi: </w:t>
      </w:r>
      <w:r w:rsidR="00B65401" w:rsidRPr="00B65401">
        <w:t>10.1002/met.51</w:t>
      </w:r>
      <w:r w:rsidRPr="00262CC9">
        <w:t>.</w:t>
      </w:r>
    </w:p>
    <w:p w14:paraId="3BE1B9C7" w14:textId="3E20E73D" w:rsidR="00F24C80" w:rsidRDefault="00AE1515">
      <w:r>
        <w:t xml:space="preserve">Murphy, A. H., 1969.  On the ranked probability score.  </w:t>
      </w:r>
      <w:r w:rsidR="00E107AF">
        <w:rPr>
          <w:i/>
          <w:iCs/>
        </w:rPr>
        <w:t>Journal of Applied Meteorology and Climatology</w:t>
      </w:r>
      <w:r w:rsidR="00E107AF">
        <w:t xml:space="preserve">, </w:t>
      </w:r>
      <w:r w:rsidR="0088119B">
        <w:rPr>
          <w:b/>
          <w:bCs/>
        </w:rPr>
        <w:t>8</w:t>
      </w:r>
      <w:r w:rsidR="0088119B">
        <w:t xml:space="preserve"> (6), 988 – 989, doi: </w:t>
      </w:r>
      <w:r w:rsidR="0088119B" w:rsidRPr="0088119B">
        <w:t>10.1175/1520-0450(1969)008&lt;0988:OTPS&gt;2.0.CO;2</w:t>
      </w:r>
      <w:r w:rsidR="0088119B">
        <w:t>.</w:t>
      </w:r>
    </w:p>
    <w:p w14:paraId="7C9C8D0B" w14:textId="45FCC89B" w:rsidR="00F24C80" w:rsidRPr="00DD471E" w:rsidRDefault="00F24C80">
      <w:r>
        <w:t xml:space="preserve">Tödter, J. and B. Ahrens, </w:t>
      </w:r>
      <w:r w:rsidR="00953667">
        <w:t xml:space="preserve">2012.  </w:t>
      </w:r>
      <w:r w:rsidR="00953667" w:rsidRPr="00953667">
        <w:t xml:space="preserve">Generalization of the Ignorance Score: Continuous </w:t>
      </w:r>
      <w:r w:rsidR="00953667">
        <w:t>r</w:t>
      </w:r>
      <w:r w:rsidR="00953667" w:rsidRPr="00953667">
        <w:t xml:space="preserve">anked </w:t>
      </w:r>
      <w:r w:rsidR="00953667">
        <w:t>v</w:t>
      </w:r>
      <w:r w:rsidR="00953667" w:rsidRPr="00953667">
        <w:t>ersion</w:t>
      </w:r>
      <w:r w:rsidR="00953667">
        <w:t xml:space="preserve"> </w:t>
      </w:r>
      <w:r w:rsidR="00953667" w:rsidRPr="00953667">
        <w:t xml:space="preserve">and </w:t>
      </w:r>
      <w:r w:rsidR="00953667">
        <w:t>i</w:t>
      </w:r>
      <w:r w:rsidR="00953667" w:rsidRPr="00953667">
        <w:t xml:space="preserve">ts </w:t>
      </w:r>
      <w:r w:rsidR="00953667">
        <w:t>d</w:t>
      </w:r>
      <w:r w:rsidR="00953667" w:rsidRPr="00953667">
        <w:t>ecomposition</w:t>
      </w:r>
      <w:r w:rsidR="00953667">
        <w:t xml:space="preserve">.  </w:t>
      </w:r>
      <w:r w:rsidR="00DD471E">
        <w:rPr>
          <w:i/>
          <w:iCs/>
        </w:rPr>
        <w:t>Mon. Wea. Rev.</w:t>
      </w:r>
      <w:r w:rsidR="00DD471E">
        <w:t xml:space="preserve">, </w:t>
      </w:r>
      <w:r w:rsidR="00DD471E">
        <w:rPr>
          <w:b/>
          <w:bCs/>
        </w:rPr>
        <w:t>140</w:t>
      </w:r>
      <w:r w:rsidR="00DD471E">
        <w:t xml:space="preserve"> (6), </w:t>
      </w:r>
      <w:r w:rsidR="00350EC4">
        <w:t xml:space="preserve">2005 – 2017, doi: </w:t>
      </w:r>
      <w:r w:rsidR="00350EC4" w:rsidRPr="00350EC4">
        <w:t>10.1175/MWR-D-11-00266.1</w:t>
      </w:r>
      <w:r w:rsidR="00350EC4">
        <w:t>.</w:t>
      </w:r>
    </w:p>
    <w:sectPr w:rsidR="00F24C80" w:rsidRPr="00DD4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c Gilleland" w:date="2021-07-22T08:29:00Z" w:initials="EG">
    <w:p w14:paraId="671EBD37" w14:textId="4FA15E70" w:rsidR="005917BC" w:rsidRDefault="005917BC">
      <w:pPr>
        <w:pStyle w:val="CommentText"/>
      </w:pPr>
      <w:r>
        <w:rPr>
          <w:rStyle w:val="CommentReference"/>
        </w:rPr>
        <w:annotationRef/>
      </w:r>
      <w:r w:rsidR="00A2443D">
        <w:rPr>
          <w:noProof/>
        </w:rPr>
        <w:t>Wilks (2011) is</w:t>
      </w:r>
      <w:r w:rsidR="00A2443D">
        <w:rPr>
          <w:noProof/>
        </w:rPr>
        <w:t xml:space="preserve"> what is referenced throughout the MET </w:t>
      </w:r>
      <w:r w:rsidR="00A2443D">
        <w:rPr>
          <w:noProof/>
        </w:rPr>
        <w:t xml:space="preserve">document, </w:t>
      </w:r>
      <w:r w:rsidR="00A2443D">
        <w:rPr>
          <w:noProof/>
        </w:rPr>
        <w:t>which is why I used it here.  However, they are up to the fourth edition now (</w:t>
      </w:r>
      <w:r w:rsidR="00A2443D" w:rsidRPr="00A2443D">
        <w:rPr>
          <w:noProof/>
        </w:rPr>
        <w:t>https://www.sciencedirect.com/book/9780128158234/statistical-methods-in-the-atmospheric-sciences</w:t>
      </w:r>
      <w:r w:rsidR="00A2443D">
        <w:rPr>
          <w:noProof/>
        </w:rPr>
        <w:t>) and this reference ought to be updated throughout th</w:t>
      </w:r>
      <w:r w:rsidR="00A2443D">
        <w:rPr>
          <w:noProof/>
        </w:rPr>
        <w:t>is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1EBD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3AAD0" w16cex:dateUtc="2021-07-22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BD37" w16cid:durableId="24A3A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 Gilleland">
    <w15:presenceInfo w15:providerId="Windows Live" w15:userId="6d29a07973565c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E"/>
    <w:rsid w:val="00047CE5"/>
    <w:rsid w:val="00104EF3"/>
    <w:rsid w:val="00125AB5"/>
    <w:rsid w:val="0013380F"/>
    <w:rsid w:val="0014194E"/>
    <w:rsid w:val="001469AE"/>
    <w:rsid w:val="00170B1E"/>
    <w:rsid w:val="001C170F"/>
    <w:rsid w:val="001E497C"/>
    <w:rsid w:val="002022C5"/>
    <w:rsid w:val="00262CC9"/>
    <w:rsid w:val="002B4ABE"/>
    <w:rsid w:val="002D42A3"/>
    <w:rsid w:val="002F2AC0"/>
    <w:rsid w:val="00322AA6"/>
    <w:rsid w:val="00350473"/>
    <w:rsid w:val="00350EC4"/>
    <w:rsid w:val="00364904"/>
    <w:rsid w:val="00376100"/>
    <w:rsid w:val="003B505E"/>
    <w:rsid w:val="00431199"/>
    <w:rsid w:val="004533DB"/>
    <w:rsid w:val="004750C3"/>
    <w:rsid w:val="004C30EB"/>
    <w:rsid w:val="004D5165"/>
    <w:rsid w:val="004F1D47"/>
    <w:rsid w:val="00516C2B"/>
    <w:rsid w:val="00547238"/>
    <w:rsid w:val="005917BC"/>
    <w:rsid w:val="005C0779"/>
    <w:rsid w:val="005D1177"/>
    <w:rsid w:val="005D7AA8"/>
    <w:rsid w:val="00604BC2"/>
    <w:rsid w:val="0063073C"/>
    <w:rsid w:val="006564D0"/>
    <w:rsid w:val="007247F2"/>
    <w:rsid w:val="00752E7A"/>
    <w:rsid w:val="007E1269"/>
    <w:rsid w:val="007F210B"/>
    <w:rsid w:val="00846772"/>
    <w:rsid w:val="0085612F"/>
    <w:rsid w:val="0088119B"/>
    <w:rsid w:val="00902CBE"/>
    <w:rsid w:val="0093205B"/>
    <w:rsid w:val="00953667"/>
    <w:rsid w:val="00965667"/>
    <w:rsid w:val="00965AED"/>
    <w:rsid w:val="0099239D"/>
    <w:rsid w:val="00997921"/>
    <w:rsid w:val="009B32C8"/>
    <w:rsid w:val="009B452D"/>
    <w:rsid w:val="009C24CA"/>
    <w:rsid w:val="009E1D8C"/>
    <w:rsid w:val="009E57C7"/>
    <w:rsid w:val="00A15D0F"/>
    <w:rsid w:val="00A202B1"/>
    <w:rsid w:val="00A2443D"/>
    <w:rsid w:val="00AB7309"/>
    <w:rsid w:val="00AE1515"/>
    <w:rsid w:val="00AE70A1"/>
    <w:rsid w:val="00B37C29"/>
    <w:rsid w:val="00B65401"/>
    <w:rsid w:val="00BF2365"/>
    <w:rsid w:val="00BF6EF6"/>
    <w:rsid w:val="00C26D0D"/>
    <w:rsid w:val="00C37415"/>
    <w:rsid w:val="00C56007"/>
    <w:rsid w:val="00C57FA6"/>
    <w:rsid w:val="00CA1AAC"/>
    <w:rsid w:val="00CC0737"/>
    <w:rsid w:val="00CE2F39"/>
    <w:rsid w:val="00D94FCE"/>
    <w:rsid w:val="00DD471E"/>
    <w:rsid w:val="00DD56FF"/>
    <w:rsid w:val="00DF7834"/>
    <w:rsid w:val="00E107AF"/>
    <w:rsid w:val="00E63A59"/>
    <w:rsid w:val="00E74C73"/>
    <w:rsid w:val="00E84A45"/>
    <w:rsid w:val="00E85CAA"/>
    <w:rsid w:val="00EC5A3D"/>
    <w:rsid w:val="00F24369"/>
    <w:rsid w:val="00F24C80"/>
    <w:rsid w:val="00F331E5"/>
    <w:rsid w:val="00F4490A"/>
    <w:rsid w:val="00F7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E163"/>
  <w15:chartTrackingRefBased/>
  <w15:docId w15:val="{40A658E8-89E0-46E5-B197-4C176764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4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49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ction-number">
    <w:name w:val="section-number"/>
    <w:basedOn w:val="DefaultParagraphFont"/>
    <w:rsid w:val="00F4490A"/>
  </w:style>
  <w:style w:type="character" w:styleId="PlaceholderText">
    <w:name w:val="Placeholder Text"/>
    <w:basedOn w:val="DefaultParagraphFont"/>
    <w:uiPriority w:val="99"/>
    <w:semiHidden/>
    <w:rsid w:val="00CE2F3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1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7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1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Gilleland</dc:creator>
  <cp:keywords/>
  <dc:description/>
  <cp:lastModifiedBy>Eric Gilleland</cp:lastModifiedBy>
  <cp:revision>87</cp:revision>
  <dcterms:created xsi:type="dcterms:W3CDTF">2021-07-15T19:28:00Z</dcterms:created>
  <dcterms:modified xsi:type="dcterms:W3CDTF">2021-07-22T14:30:00Z</dcterms:modified>
</cp:coreProperties>
</file>